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E" w:rsidRPr="0077329E" w:rsidRDefault="0077329E" w:rsidP="0077329E">
      <w:pPr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  <w:bookmarkStart w:id="0" w:name="_GoBack"/>
      <w:bookmarkEnd w:id="0"/>
      <w:r w:rsidRPr="0077329E">
        <w:rPr>
          <w:rFonts w:ascii="Arial" w:hAnsi="Arial" w:cs="Arial"/>
          <w:color w:val="1F497D" w:themeColor="text2"/>
          <w:u w:val="single"/>
          <w:shd w:val="clear" w:color="auto" w:fill="FFFFFF"/>
        </w:rPr>
        <w:t>GİRİŞ SAYFASI YAZISI</w:t>
      </w:r>
    </w:p>
    <w:p w:rsidR="0077329E" w:rsidRDefault="0077329E">
      <w:pPr>
        <w:rPr>
          <w:rFonts w:ascii="Arial" w:hAnsi="Arial" w:cs="Arial"/>
          <w:color w:val="222222"/>
          <w:shd w:val="clear" w:color="auto" w:fill="FFFFFF"/>
        </w:rPr>
      </w:pPr>
    </w:p>
    <w:p w:rsidR="00783A96" w:rsidRDefault="00783A9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MESLEKİ EĞİTİM YENİLİK GELİŞTİRMEYE YÖNELİK STRATEJİK ORTAKLIKLAR kapsamında </w:t>
      </w:r>
      <w:proofErr w:type="spellStart"/>
      <w:r w:rsidRPr="00783A9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Four</w:t>
      </w:r>
      <w:proofErr w:type="spellEnd"/>
      <w:r w:rsidRPr="00783A9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Step </w:t>
      </w:r>
      <w:proofErr w:type="spellStart"/>
      <w:r w:rsidRPr="00783A9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For</w:t>
      </w:r>
      <w:proofErr w:type="spellEnd"/>
      <w:r w:rsidRPr="00783A9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783A9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Employment</w:t>
      </w:r>
      <w:proofErr w:type="spellEnd"/>
      <w:r w:rsidRPr="00783A9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isimli proje hibe almaya hak kazanmıştır.</w:t>
      </w:r>
    </w:p>
    <w:p w:rsidR="00783A96" w:rsidRDefault="00783A9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Proje Ortakları</w:t>
      </w:r>
    </w:p>
    <w:p w:rsidR="00783A96" w:rsidRDefault="00783A9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783A96">
        <w:rPr>
          <w:rFonts w:ascii="Arial" w:hAnsi="Arial" w:cs="Arial"/>
          <w:color w:val="222222"/>
          <w:shd w:val="clear" w:color="auto" w:fill="FFFFFF"/>
        </w:rPr>
        <w:t>Politeknika</w:t>
      </w:r>
      <w:proofErr w:type="spellEnd"/>
      <w:r w:rsidRPr="00783A9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83A96">
        <w:rPr>
          <w:rFonts w:ascii="Arial" w:hAnsi="Arial" w:cs="Arial"/>
          <w:color w:val="222222"/>
          <w:shd w:val="clear" w:color="auto" w:fill="FFFFFF"/>
        </w:rPr>
        <w:t>Ikastegia</w:t>
      </w:r>
      <w:proofErr w:type="spellEnd"/>
      <w:r w:rsidRPr="00783A9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83A96">
        <w:rPr>
          <w:rFonts w:ascii="Arial" w:hAnsi="Arial" w:cs="Arial"/>
          <w:color w:val="222222"/>
          <w:shd w:val="clear" w:color="auto" w:fill="FFFFFF"/>
        </w:rPr>
        <w:t>Txorierri</w:t>
      </w:r>
      <w:proofErr w:type="spellEnd"/>
      <w:r w:rsidRPr="00783A96">
        <w:rPr>
          <w:rFonts w:ascii="Arial" w:hAnsi="Arial" w:cs="Arial"/>
          <w:color w:val="222222"/>
          <w:shd w:val="clear" w:color="auto" w:fill="FFFFFF"/>
        </w:rPr>
        <w:t xml:space="preserve"> S. </w:t>
      </w:r>
      <w:proofErr w:type="spellStart"/>
      <w:r w:rsidRPr="00783A96">
        <w:rPr>
          <w:rFonts w:ascii="Arial" w:hAnsi="Arial" w:cs="Arial"/>
          <w:color w:val="222222"/>
          <w:shd w:val="clear" w:color="auto" w:fill="FFFFFF"/>
        </w:rPr>
        <w:t>Coop</w:t>
      </w:r>
      <w:proofErr w:type="spellEnd"/>
      <w:r w:rsidRPr="00783A96">
        <w:rPr>
          <w:rFonts w:ascii="Arial" w:hAnsi="Arial" w:cs="Arial"/>
          <w:color w:val="222222"/>
          <w:shd w:val="clear" w:color="auto" w:fill="FFFFFF"/>
        </w:rPr>
        <w:t>. Ltd.(BIZKIA)</w:t>
      </w:r>
      <w:r>
        <w:rPr>
          <w:rFonts w:ascii="Arial" w:hAnsi="Arial" w:cs="Arial"/>
          <w:color w:val="222222"/>
          <w:shd w:val="clear" w:color="auto" w:fill="FFFFFF"/>
        </w:rPr>
        <w:t xml:space="preserve"> İSPANYA</w:t>
      </w:r>
    </w:p>
    <w:p w:rsidR="00783A96" w:rsidRDefault="00783A9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Kairos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Europe:İNGİLTERE</w:t>
      </w:r>
      <w:proofErr w:type="spellEnd"/>
      <w:proofErr w:type="gramEnd"/>
    </w:p>
    <w:p w:rsidR="001F1043" w:rsidRDefault="00783A9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783A96">
        <w:rPr>
          <w:rFonts w:ascii="Arial" w:hAnsi="Arial" w:cs="Arial"/>
          <w:color w:val="222222"/>
          <w:shd w:val="clear" w:color="auto" w:fill="FFFFFF"/>
        </w:rPr>
        <w:t>Forave</w:t>
      </w:r>
      <w:proofErr w:type="spellEnd"/>
      <w:r w:rsidRPr="00783A96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PORTEKİZ</w:t>
      </w:r>
    </w:p>
    <w:p w:rsidR="00783A96" w:rsidRDefault="00783A9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783A96">
        <w:rPr>
          <w:rFonts w:ascii="Arial" w:hAnsi="Arial" w:cs="Arial"/>
          <w:color w:val="222222"/>
          <w:shd w:val="clear" w:color="auto" w:fill="FFFFFF"/>
        </w:rPr>
        <w:t>Hat</w:t>
      </w:r>
      <w:r>
        <w:rPr>
          <w:rFonts w:ascii="Arial" w:hAnsi="Arial" w:cs="Arial"/>
          <w:color w:val="222222"/>
          <w:shd w:val="clear" w:color="auto" w:fill="FFFFFF"/>
        </w:rPr>
        <w:t>ártalanul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Iroda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kft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>.: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MACARİSTAN</w:t>
      </w:r>
    </w:p>
    <w:p w:rsidR="00783A96" w:rsidRDefault="00783A96"/>
    <w:p w:rsidR="00783A96" w:rsidRDefault="00783A96"/>
    <w:p w:rsidR="00783A96" w:rsidRDefault="00783A96">
      <w:r>
        <w:rPr>
          <w:noProof/>
          <w:lang w:eastAsia="tr-TR"/>
        </w:rPr>
        <w:drawing>
          <wp:inline distT="0" distB="0" distL="0" distR="0">
            <wp:extent cx="5715000" cy="3800475"/>
            <wp:effectExtent l="19050" t="0" r="0" b="0"/>
            <wp:docPr id="1" name="0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9E" w:rsidRDefault="0077329E"/>
    <w:p w:rsidR="0077329E" w:rsidRDefault="0077329E"/>
    <w:p w:rsidR="0077329E" w:rsidRDefault="0077329E"/>
    <w:p w:rsidR="0077329E" w:rsidRDefault="0077329E"/>
    <w:p w:rsidR="0077329E" w:rsidRDefault="0077329E"/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77329E" w:rsidRPr="0077329E" w:rsidRDefault="0077329E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  <w:r>
        <w:rPr>
          <w:rFonts w:ascii="Arial" w:hAnsi="Arial" w:cs="Arial"/>
          <w:color w:val="1F497D" w:themeColor="text2"/>
          <w:u w:val="single"/>
          <w:shd w:val="clear" w:color="auto" w:fill="FFFFFF"/>
        </w:rPr>
        <w:lastRenderedPageBreak/>
        <w:t>HABERİN İÇERİK SAYFASI</w:t>
      </w:r>
    </w:p>
    <w:p w:rsidR="001870CC" w:rsidRDefault="001870CC"/>
    <w:p w:rsidR="001870CC" w:rsidRDefault="001870CC" w:rsidP="0077329E">
      <w:pPr>
        <w:ind w:firstLine="708"/>
      </w:pPr>
      <w:r>
        <w:t xml:space="preserve">Projenin </w:t>
      </w:r>
      <w:r w:rsidR="0077329E">
        <w:t xml:space="preserve">Konusu: </w:t>
      </w:r>
      <w:r w:rsidR="0077329E" w:rsidRPr="0077329E">
        <w:rPr>
          <w:b/>
        </w:rPr>
        <w:t xml:space="preserve">İstihdam İçin 4 </w:t>
      </w:r>
      <w:proofErr w:type="gramStart"/>
      <w:r w:rsidR="0077329E" w:rsidRPr="0077329E">
        <w:rPr>
          <w:b/>
        </w:rPr>
        <w:t>Adım</w:t>
      </w:r>
      <w:r w:rsidR="0077329E">
        <w:t xml:space="preserve">  projesi</w:t>
      </w:r>
      <w:proofErr w:type="gramEnd"/>
      <w:r w:rsidR="0077329E">
        <w:t xml:space="preserve">  mesleki eğitim ve istihdam politikalarını AB boyutunda 4 aşamada incelemeyi hedeflemektedir.</w:t>
      </w:r>
    </w:p>
    <w:p w:rsidR="0077329E" w:rsidRDefault="0077329E" w:rsidP="001B21F0">
      <w:r>
        <w:t>1-</w:t>
      </w:r>
      <w:r w:rsidR="001B21F0">
        <w:t>İş dünyasının beklentisi ile mesleki eğitim niteliğini</w:t>
      </w:r>
      <w:r>
        <w:t xml:space="preserve"> karşılaştırmak</w:t>
      </w:r>
    </w:p>
    <w:p w:rsidR="001B21F0" w:rsidRDefault="0077329E" w:rsidP="001B21F0">
      <w:r>
        <w:t>2-Mesleki Yeterlilikleri Avrupa yeterlilik çerçevesinde değerlendirmek</w:t>
      </w:r>
    </w:p>
    <w:p w:rsidR="0077329E" w:rsidRDefault="0077329E" w:rsidP="0077329E">
      <w:r>
        <w:t>3-</w:t>
      </w:r>
      <w:r w:rsidRPr="0077329E">
        <w:t xml:space="preserve"> </w:t>
      </w:r>
      <w:r>
        <w:t xml:space="preserve">iş dünyasında yer alacak bireylerin istihdam </w:t>
      </w:r>
      <w:proofErr w:type="gramStart"/>
      <w:r>
        <w:t>öncesi  Girişimcilik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 hazırlama, Temel İş sağlığı güvenliği, Zaman Yönetimi ve İş Verimliliği, Takım Çalışması, İş ahlakı ve Kişisel iş ağı oluşturma becerilerini  geliştirecek çok dilli ve sesli </w:t>
      </w:r>
      <w:proofErr w:type="spellStart"/>
      <w:r>
        <w:t>dökümanlar</w:t>
      </w:r>
      <w:proofErr w:type="spellEnd"/>
      <w:r>
        <w:t xml:space="preserve"> hazırlamak.</w:t>
      </w:r>
    </w:p>
    <w:p w:rsidR="0077329E" w:rsidRDefault="0077329E" w:rsidP="0077329E">
      <w:r>
        <w:t>4-</w:t>
      </w:r>
      <w:r w:rsidR="000B4148">
        <w:t>istihdam politikaları ve AB stratejilerinin değerlendirilmesi</w:t>
      </w:r>
    </w:p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77329E"/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8C5417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</w:p>
    <w:p w:rsidR="008C5417" w:rsidRPr="0077329E" w:rsidRDefault="008C5417" w:rsidP="008C5417">
      <w:pPr>
        <w:tabs>
          <w:tab w:val="left" w:pos="3864"/>
        </w:tabs>
        <w:jc w:val="center"/>
        <w:rPr>
          <w:rFonts w:ascii="Arial" w:hAnsi="Arial" w:cs="Arial"/>
          <w:color w:val="1F497D" w:themeColor="text2"/>
          <w:u w:val="single"/>
          <w:shd w:val="clear" w:color="auto" w:fill="FFFFFF"/>
        </w:rPr>
      </w:pPr>
      <w:r>
        <w:rPr>
          <w:rFonts w:ascii="Arial" w:hAnsi="Arial" w:cs="Arial"/>
          <w:color w:val="1F497D" w:themeColor="text2"/>
          <w:u w:val="single"/>
          <w:shd w:val="clear" w:color="auto" w:fill="FFFFFF"/>
        </w:rPr>
        <w:t>OKULUN İNGİLİZCE TANITIMI</w:t>
      </w:r>
    </w:p>
    <w:p w:rsidR="008C5417" w:rsidRDefault="008C5417" w:rsidP="008C5417">
      <w:r>
        <w:t xml:space="preserve">Tophane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High School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on 29th </w:t>
      </w:r>
      <w:proofErr w:type="spellStart"/>
      <w:r>
        <w:t>March</w:t>
      </w:r>
      <w:proofErr w:type="spellEnd"/>
      <w:r>
        <w:t xml:space="preserve"> 1868 as </w:t>
      </w:r>
      <w:proofErr w:type="spellStart"/>
      <w:r>
        <w:t>Reformatory</w:t>
      </w:r>
      <w:proofErr w:type="spellEnd"/>
      <w:r>
        <w:t>.</w:t>
      </w:r>
    </w:p>
    <w:p w:rsidR="008C5417" w:rsidRDefault="008C5417" w:rsidP="008C5417">
      <w:r>
        <w:t xml:space="preserve">Tophane Technical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High School (TMTAL)</w:t>
      </w:r>
    </w:p>
    <w:p w:rsidR="008C5417" w:rsidRDefault="008C5417" w:rsidP="008C5417">
      <w:r>
        <w:t xml:space="preserve">•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as Hamidiye </w:t>
      </w:r>
      <w:proofErr w:type="spellStart"/>
      <w:r>
        <w:t>Industrial</w:t>
      </w:r>
      <w:proofErr w:type="spellEnd"/>
      <w:r>
        <w:t xml:space="preserve"> School in 1899.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1910, </w:t>
      </w:r>
      <w:proofErr w:type="spellStart"/>
      <w:r>
        <w:t>iron</w:t>
      </w:r>
      <w:proofErr w:type="spellEnd"/>
      <w:r>
        <w:t xml:space="preserve">, </w:t>
      </w:r>
      <w:proofErr w:type="spellStart"/>
      <w:r>
        <w:t>smoothing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mould</w:t>
      </w:r>
      <w:proofErr w:type="spellEnd"/>
      <w:r>
        <w:t xml:space="preserve"> </w:t>
      </w:r>
      <w:proofErr w:type="spellStart"/>
      <w:r>
        <w:t>ateliers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re-</w:t>
      </w:r>
      <w:proofErr w:type="spellStart"/>
      <w:r>
        <w:t>established</w:t>
      </w:r>
      <w:proofErr w:type="spellEnd"/>
      <w:r>
        <w:t>.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1916, </w:t>
      </w:r>
      <w:proofErr w:type="spellStart"/>
      <w:r>
        <w:t>carpentry</w:t>
      </w:r>
      <w:proofErr w:type="spellEnd"/>
      <w:r>
        <w:t xml:space="preserve">, </w:t>
      </w:r>
      <w:proofErr w:type="spellStart"/>
      <w:r>
        <w:t>fitting</w:t>
      </w:r>
      <w:proofErr w:type="spellEnd"/>
      <w:r>
        <w:t xml:space="preserve">, </w:t>
      </w:r>
      <w:proofErr w:type="spellStart"/>
      <w:r>
        <w:t>turnery</w:t>
      </w:r>
      <w:proofErr w:type="spellEnd"/>
      <w:r>
        <w:t xml:space="preserve">, </w:t>
      </w:r>
      <w:proofErr w:type="spellStart"/>
      <w:r>
        <w:t>foundry</w:t>
      </w:r>
      <w:proofErr w:type="spellEnd"/>
      <w:r>
        <w:t xml:space="preserve">, </w:t>
      </w:r>
      <w:proofErr w:type="spellStart"/>
      <w:r>
        <w:t>wood-turning</w:t>
      </w:r>
      <w:proofErr w:type="spellEnd"/>
      <w:r>
        <w:t xml:space="preserve">, </w:t>
      </w:r>
      <w:proofErr w:type="spellStart"/>
      <w:r>
        <w:t>modeling</w:t>
      </w:r>
      <w:proofErr w:type="spellEnd"/>
      <w:r>
        <w:t xml:space="preserve">,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forging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opened</w:t>
      </w:r>
      <w:proofErr w:type="spellEnd"/>
      <w:r>
        <w:t>.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1943-1944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a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ateliers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classrooms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locate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as motor </w:t>
      </w:r>
      <w:proofErr w:type="spellStart"/>
      <w:r>
        <w:t>atelier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. 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1952, </w:t>
      </w:r>
      <w:proofErr w:type="spellStart"/>
      <w:r>
        <w:t>its</w:t>
      </w:r>
      <w:proofErr w:type="spellEnd"/>
      <w:r>
        <w:t xml:space="preserve"> name </w:t>
      </w:r>
      <w:proofErr w:type="spellStart"/>
      <w:r>
        <w:t>became</w:t>
      </w:r>
      <w:proofErr w:type="spellEnd"/>
      <w:r>
        <w:t xml:space="preserve"> Bursa </w:t>
      </w:r>
      <w:proofErr w:type="spellStart"/>
      <w:r>
        <w:t>Men's</w:t>
      </w:r>
      <w:proofErr w:type="spellEnd"/>
      <w:r>
        <w:t xml:space="preserve"> Art </w:t>
      </w:r>
      <w:proofErr w:type="spellStart"/>
      <w:r>
        <w:t>Institute</w:t>
      </w:r>
      <w:proofErr w:type="spellEnd"/>
      <w:r>
        <w:t>.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1958,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School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.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1963-1964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1974,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Bursa Technical High School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High School.</w:t>
      </w:r>
    </w:p>
    <w:p w:rsidR="008C5417" w:rsidRDefault="008C5417" w:rsidP="008C5417">
      <w:r>
        <w:t xml:space="preserve">•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"APPRENTICESHIP AND VOCATIONAL EDUCATION LAW" in 1986.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apprenticeship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3308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in 1986,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>.</w:t>
      </w:r>
    </w:p>
    <w:p w:rsidR="008C5417" w:rsidRDefault="008C5417" w:rsidP="008C5417">
      <w:r>
        <w:t xml:space="preserve">• </w:t>
      </w:r>
      <w:proofErr w:type="spellStart"/>
      <w:r>
        <w:t>In</w:t>
      </w:r>
      <w:proofErr w:type="spellEnd"/>
      <w:r>
        <w:t xml:space="preserve"> 1987, Tophane </w:t>
      </w:r>
      <w:proofErr w:type="spellStart"/>
      <w:r>
        <w:t>Anatolian</w:t>
      </w:r>
      <w:proofErr w:type="spellEnd"/>
      <w:r>
        <w:t xml:space="preserve"> Technical High School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electronics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on, </w:t>
      </w:r>
      <w:proofErr w:type="spellStart"/>
      <w:r>
        <w:t>departments</w:t>
      </w:r>
      <w:proofErr w:type="spellEnd"/>
      <w:r>
        <w:t xml:space="preserve"> of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Anatolian</w:t>
      </w:r>
      <w:proofErr w:type="spellEnd"/>
      <w:r>
        <w:t xml:space="preserve"> Technical High School </w:t>
      </w:r>
      <w:proofErr w:type="spellStart"/>
      <w:r>
        <w:t>while</w:t>
      </w:r>
      <w:proofErr w:type="spellEnd"/>
      <w:r>
        <w:t xml:space="preserve"> CNC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8C5417" w:rsidRDefault="008C5417" w:rsidP="008C5417">
      <w:r>
        <w:t>.</w:t>
      </w:r>
      <w:proofErr w:type="spellStart"/>
      <w:r>
        <w:t>In</w:t>
      </w:r>
      <w:proofErr w:type="spellEnd"/>
      <w:r>
        <w:t xml:space="preserve"> 2012,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 xml:space="preserve"> Technologies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>-of-</w:t>
      </w:r>
      <w:proofErr w:type="spellStart"/>
      <w:r>
        <w:t>the</w:t>
      </w:r>
      <w:proofErr w:type="spellEnd"/>
      <w:r>
        <w:t xml:space="preserve">-art </w:t>
      </w:r>
      <w:proofErr w:type="spellStart"/>
      <w:r>
        <w:t>technologies</w:t>
      </w:r>
      <w:proofErr w:type="spellEnd"/>
      <w:proofErr w:type="gramStart"/>
      <w:r>
        <w:t>..</w:t>
      </w:r>
      <w:proofErr w:type="gramEnd"/>
    </w:p>
    <w:p w:rsidR="008C5417" w:rsidRDefault="008C5417" w:rsidP="008C5417">
      <w:r>
        <w:t xml:space="preserve">TMTAL </w:t>
      </w:r>
      <w:proofErr w:type="spellStart"/>
      <w:r>
        <w:t>organizes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of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TMTAL</w:t>
      </w:r>
    </w:p>
    <w:p w:rsidR="008C5417" w:rsidRDefault="008C5417" w:rsidP="008C5417">
      <w:proofErr w:type="spellStart"/>
      <w:r>
        <w:t>Staff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Basic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Security </w:t>
      </w:r>
      <w:proofErr w:type="spellStart"/>
      <w:r>
        <w:t>Trainings</w:t>
      </w:r>
      <w:proofErr w:type="spellEnd"/>
      <w:r>
        <w:t xml:space="preserve">"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Security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p w:rsidR="008C5417" w:rsidRDefault="008C5417" w:rsidP="008C5417">
      <w:proofErr w:type="spellStart"/>
      <w:r>
        <w:t>Receiving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Bursa </w:t>
      </w:r>
      <w:proofErr w:type="spellStart"/>
      <w:r>
        <w:t>that</w:t>
      </w:r>
      <w:proofErr w:type="spellEnd"/>
      <w:r>
        <w:t xml:space="preserve"> is a </w:t>
      </w:r>
      <w:proofErr w:type="spellStart"/>
      <w:r>
        <w:t>city</w:t>
      </w:r>
      <w:proofErr w:type="spellEnd"/>
      <w:r>
        <w:t xml:space="preserve"> of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facilitates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employed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received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of </w:t>
      </w:r>
      <w:proofErr w:type="spellStart"/>
      <w:r>
        <w:t>why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preferred</w:t>
      </w:r>
      <w:proofErr w:type="spellEnd"/>
      <w:r>
        <w:t xml:space="preserve">. </w:t>
      </w:r>
      <w:proofErr w:type="gramStart"/>
      <w:r>
        <w:t xml:space="preserve">TMTAL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rooted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on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since 1868.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of </w:t>
      </w:r>
      <w:proofErr w:type="spellStart"/>
      <w:r>
        <w:t>Computerized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Machine Design,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, </w:t>
      </w:r>
      <w:proofErr w:type="spellStart"/>
      <w:r>
        <w:t>Computerized</w:t>
      </w:r>
      <w:proofErr w:type="spellEnd"/>
      <w:r>
        <w:t xml:space="preserve"> </w:t>
      </w:r>
      <w:proofErr w:type="spellStart"/>
      <w:r>
        <w:t>Mould</w:t>
      </w:r>
      <w:proofErr w:type="spellEnd"/>
      <w:r>
        <w:t xml:space="preserve">, Metal Works, </w:t>
      </w:r>
      <w:proofErr w:type="spellStart"/>
      <w:r>
        <w:t>Metallurgy</w:t>
      </w:r>
      <w:proofErr w:type="spellEnd"/>
      <w:r>
        <w:t xml:space="preserve">,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Textile</w:t>
      </w:r>
      <w:proofErr w:type="spellEnd"/>
      <w:r>
        <w:t xml:space="preserve">, </w:t>
      </w:r>
      <w:proofErr w:type="spellStart"/>
      <w:r>
        <w:t>Wood</w:t>
      </w:r>
      <w:proofErr w:type="spellEnd"/>
      <w:r>
        <w:t xml:space="preserve">, </w:t>
      </w:r>
      <w:proofErr w:type="spellStart"/>
      <w:r>
        <w:t>Informatics</w:t>
      </w:r>
      <w:proofErr w:type="spellEnd"/>
      <w:r>
        <w:t xml:space="preserve">, </w:t>
      </w:r>
      <w:proofErr w:type="spellStart"/>
      <w:r>
        <w:t>Electricity</w:t>
      </w:r>
      <w:proofErr w:type="spellEnd"/>
      <w:r>
        <w:t xml:space="preserve"> Electronic </w:t>
      </w:r>
      <w:proofErr w:type="spellStart"/>
      <w:r>
        <w:t>departments</w:t>
      </w:r>
      <w:proofErr w:type="spellEnd"/>
      <w:r>
        <w:t xml:space="preserve">, TMTAL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4000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280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of a </w:t>
      </w:r>
      <w:proofErr w:type="spellStart"/>
      <w:r>
        <w:t>factory</w:t>
      </w:r>
      <w:proofErr w:type="spellEnd"/>
      <w:r>
        <w:t>.</w:t>
      </w:r>
      <w:proofErr w:type="gramEnd"/>
    </w:p>
    <w:sectPr w:rsidR="008C5417" w:rsidSect="008C541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96"/>
    <w:rsid w:val="000B4148"/>
    <w:rsid w:val="001870CC"/>
    <w:rsid w:val="001B21F0"/>
    <w:rsid w:val="001F1043"/>
    <w:rsid w:val="00555BE7"/>
    <w:rsid w:val="0077329E"/>
    <w:rsid w:val="00783A96"/>
    <w:rsid w:val="00813855"/>
    <w:rsid w:val="008C5417"/>
    <w:rsid w:val="00C8058A"/>
    <w:rsid w:val="00CA58ED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B739-84FD-4600-BC42-236A2F0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</dc:creator>
  <cp:lastModifiedBy>ilhan şen</cp:lastModifiedBy>
  <cp:revision>2</cp:revision>
  <dcterms:created xsi:type="dcterms:W3CDTF">2016-10-20T18:45:00Z</dcterms:created>
  <dcterms:modified xsi:type="dcterms:W3CDTF">2016-10-20T18:45:00Z</dcterms:modified>
</cp:coreProperties>
</file>